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2" w:type="dxa"/>
        <w:tblInd w:w="-792" w:type="dxa"/>
        <w:tblLook w:val="0000" w:firstRow="0" w:lastRow="0" w:firstColumn="0" w:lastColumn="0" w:noHBand="0" w:noVBand="0"/>
      </w:tblPr>
      <w:tblGrid>
        <w:gridCol w:w="576"/>
        <w:gridCol w:w="684"/>
        <w:gridCol w:w="1420"/>
        <w:gridCol w:w="723"/>
        <w:gridCol w:w="697"/>
        <w:gridCol w:w="1420"/>
        <w:gridCol w:w="710"/>
        <w:gridCol w:w="710"/>
        <w:gridCol w:w="710"/>
        <w:gridCol w:w="710"/>
        <w:gridCol w:w="697"/>
        <w:gridCol w:w="723"/>
        <w:gridCol w:w="1420"/>
        <w:gridCol w:w="684"/>
        <w:gridCol w:w="736"/>
        <w:gridCol w:w="430"/>
        <w:gridCol w:w="990"/>
        <w:gridCol w:w="672"/>
      </w:tblGrid>
      <w:tr w:rsidR="00593727" w:rsidTr="003C5BA7">
        <w:trPr>
          <w:trHeight w:val="43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pct12" w:color="auto" w:fill="000000" w:themeFill="text1"/>
          </w:tcPr>
          <w:p w:rsidR="00593727" w:rsidRPr="00C051DF" w:rsidRDefault="00593727" w:rsidP="00104F2E">
            <w:pPr>
              <w:rPr>
                <w:rFonts w:ascii="Arial" w:hAnsi="Arial" w:cs="Arial"/>
                <w:sz w:val="20"/>
                <w:szCs w:val="20"/>
              </w:rPr>
            </w:pPr>
            <w:r w:rsidRPr="00C051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93727" w:rsidRPr="00C051DF" w:rsidRDefault="00593727" w:rsidP="00104F2E">
            <w:pPr>
              <w:jc w:val="center"/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93727" w:rsidRPr="00C051DF" w:rsidRDefault="00593727" w:rsidP="00104F2E">
            <w:pPr>
              <w:jc w:val="center"/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  <w:t>Proficient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93727" w:rsidRPr="00C051DF" w:rsidRDefault="00593727" w:rsidP="00104F2E">
            <w:pPr>
              <w:jc w:val="center"/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  <w:t>Satisfactory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93727" w:rsidRPr="00C051DF" w:rsidRDefault="00593727" w:rsidP="00104F2E">
            <w:pPr>
              <w:jc w:val="center"/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  <w:t>Limited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93727" w:rsidRPr="00C051DF" w:rsidRDefault="00593727" w:rsidP="00104F2E">
            <w:pPr>
              <w:jc w:val="center"/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0"/>
                <w:szCs w:val="20"/>
              </w:rPr>
              <w:t>Poor</w:t>
            </w:r>
          </w:p>
        </w:tc>
      </w:tr>
      <w:tr w:rsidR="003C5BA7" w:rsidRPr="00160138" w:rsidTr="005B5A9D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3C5BA7" w:rsidRPr="00C051DF" w:rsidRDefault="003C5BA7" w:rsidP="003C5BA7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  <w:t>Ideas &amp; Impressions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C5BA7" w:rsidRPr="003C5BA7" w:rsidRDefault="003C5BA7" w:rsidP="00104F2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Exploration of the topic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insightful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C5BA7" w:rsidRPr="003C5BA7" w:rsidRDefault="003C5BA7" w:rsidP="00104F2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Exploration of the topic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purposeful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C5BA7" w:rsidRPr="003C5BA7" w:rsidRDefault="003C5BA7" w:rsidP="00104F2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Exploration of the topic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generalized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C5BA7" w:rsidRPr="003C5BA7" w:rsidRDefault="003C5BA7" w:rsidP="00104F2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Exploration of the topic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vague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C5BA7" w:rsidRPr="003C5BA7" w:rsidRDefault="003C5BA7" w:rsidP="00104F2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Exploration of the topic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minimal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</w:tr>
      <w:tr w:rsidR="00843244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843244" w:rsidRPr="00C051DF" w:rsidRDefault="00843244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244" w:rsidRPr="003C5BA7" w:rsidRDefault="00843244" w:rsidP="00593727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593727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43244" w:rsidRPr="00160138" w:rsidTr="005B5A9D">
        <w:trPr>
          <w:cantSplit/>
          <w:trHeight w:val="20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843244" w:rsidRPr="00C051DF" w:rsidRDefault="00843244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843244" w:rsidRPr="003C5BA7" w:rsidRDefault="00843244" w:rsidP="00104F2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Perceptions &amp; / or ideas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confident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discerning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3244" w:rsidRPr="003C5BA7" w:rsidRDefault="00843244" w:rsidP="00FB4AA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Perceptions &amp; / or ideas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thoughtful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considered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3244" w:rsidRPr="003C5BA7" w:rsidRDefault="00843244" w:rsidP="00FB4AA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Perceptions &amp; / or ideas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straightforward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relevant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3244" w:rsidRPr="003C5BA7" w:rsidRDefault="00843244" w:rsidP="00FB4AA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Perceptions &amp; / or ideas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superficial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&amp;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ambiguous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3244" w:rsidRPr="003C5BA7" w:rsidRDefault="00843244" w:rsidP="00FB4AA7">
            <w:pPr>
              <w:spacing w:before="60" w:after="60"/>
              <w:jc w:val="center"/>
              <w:rPr>
                <w:rFonts w:ascii="Garamond" w:hAnsi="Garamond" w:cs="Arial"/>
                <w:i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Perceptions &amp; / or ideas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underdeveloped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irrelevant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</w:tr>
      <w:tr w:rsidR="00843244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843244" w:rsidRPr="00C051DF" w:rsidRDefault="00843244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13.5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10.5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7.5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4.5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3244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104F2E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43244" w:rsidRPr="00160138" w:rsidTr="005B5A9D">
        <w:trPr>
          <w:cantSplit/>
          <w:trHeight w:val="20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843244" w:rsidRPr="00C051DF" w:rsidRDefault="00843244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29172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Support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precise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aptly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reinforces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the ideas &amp; impressions.</w:t>
            </w:r>
          </w:p>
        </w:tc>
        <w:tc>
          <w:tcPr>
            <w:tcW w:w="28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29172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Support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specific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adequately clarifies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the ideas &amp; impressions.</w:t>
            </w:r>
          </w:p>
        </w:tc>
        <w:tc>
          <w:tcPr>
            <w:tcW w:w="282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29172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Support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adequate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clarifies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the ideas &amp; impressions.</w:t>
            </w:r>
          </w:p>
        </w:tc>
        <w:tc>
          <w:tcPr>
            <w:tcW w:w="28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29172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Support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imprecise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ineffectively related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to 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he ideas &amp; impressions.</w:t>
            </w:r>
          </w:p>
        </w:tc>
        <w:tc>
          <w:tcPr>
            <w:tcW w:w="282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44" w:rsidRPr="003C5BA7" w:rsidRDefault="00843244" w:rsidP="0029172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Support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lacking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unrelated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to 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the ideas &amp; impressions.</w:t>
            </w:r>
          </w:p>
        </w:tc>
      </w:tr>
      <w:tr w:rsidR="00ED7879" w:rsidRPr="003C5BA7" w:rsidTr="005B5A9D">
        <w:trPr>
          <w:cantSplit/>
          <w:trHeight w:val="432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13.5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10.5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7.5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4.5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D7879" w:rsidRPr="00160138" w:rsidTr="005B5A9D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  <w:t>Presentation</w:t>
            </w:r>
          </w:p>
        </w:tc>
        <w:tc>
          <w:tcPr>
            <w:tcW w:w="2827" w:type="dxa"/>
            <w:gridSpan w:val="3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29172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Voice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convincing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29172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>V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oice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distinct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4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29172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>V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oice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apparent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Voice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indistinct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8" w:type="dxa"/>
            <w:gridSpan w:val="4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Voice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obscure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</w:tr>
      <w:tr w:rsidR="00ED7879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D7879" w:rsidRPr="00160138" w:rsidTr="005B5A9D">
        <w:trPr>
          <w:cantSplit/>
          <w:trHeight w:val="20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Stylistic choices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precise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tone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adept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Stylistic choices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specific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tone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competent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Stylistic choices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adequate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tone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conventional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Stylistic choices are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imprecise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and tone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inconsistent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8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>Stylistic choic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es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impede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communication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and tone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ineffective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</w:tr>
      <w:tr w:rsidR="00ED7879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13.5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10.5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7.5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4.5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D7879" w:rsidRPr="00160138" w:rsidTr="005B5A9D">
        <w:trPr>
          <w:cantSplit/>
          <w:trHeight w:val="20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Unifying effect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skillfully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developed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Unifying effect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capably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developed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Unifying effect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appropriately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developed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Unifying effect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inadequately</w:t>
            </w:r>
            <w:r w:rsidRPr="003C5BA7">
              <w:rPr>
                <w:rFonts w:ascii="Garamond" w:hAnsi="Garamond" w:cs="Arial"/>
                <w:sz w:val="20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developed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  <w:tc>
          <w:tcPr>
            <w:tcW w:w="2828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723FE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20"/>
                <w:szCs w:val="19"/>
              </w:rPr>
            </w:pPr>
            <w:r w:rsidRPr="003C5BA7">
              <w:rPr>
                <w:rFonts w:ascii="Garamond" w:hAnsi="Garamond" w:cs="Arial"/>
                <w:sz w:val="20"/>
                <w:szCs w:val="19"/>
              </w:rPr>
              <w:t xml:space="preserve">Unifying effect is </w:t>
            </w:r>
            <w:r w:rsidRPr="003C5BA7">
              <w:rPr>
                <w:rFonts w:ascii="Garamond" w:hAnsi="Garamond" w:cs="Arial"/>
                <w:b/>
                <w:sz w:val="20"/>
                <w:szCs w:val="19"/>
              </w:rPr>
              <w:t>absent</w:t>
            </w:r>
            <w:r w:rsidRPr="003C5BA7">
              <w:rPr>
                <w:rFonts w:ascii="Garamond" w:hAnsi="Garamond" w:cs="Arial"/>
                <w:sz w:val="20"/>
                <w:szCs w:val="19"/>
              </w:rPr>
              <w:t>.</w:t>
            </w:r>
          </w:p>
        </w:tc>
      </w:tr>
      <w:tr w:rsidR="00ED7879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13.5</w:t>
            </w:r>
          </w:p>
        </w:tc>
        <w:tc>
          <w:tcPr>
            <w:tcW w:w="142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10.5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7.5</w:t>
            </w:r>
          </w:p>
        </w:tc>
        <w:tc>
          <w:tcPr>
            <w:tcW w:w="142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4.5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D7879" w:rsidRPr="00160138" w:rsidTr="005B5A9D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  <w:r w:rsidRPr="00C051DF"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  <w:t>Matters of Correctness</w:t>
            </w:r>
          </w:p>
        </w:tc>
        <w:tc>
          <w:tcPr>
            <w:tcW w:w="2827" w:type="dxa"/>
            <w:gridSpan w:val="3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This writing demonstrates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confidence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in control of correct sentence construction, usage, grammar,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mechanics.</w:t>
            </w:r>
          </w:p>
        </w:tc>
        <w:tc>
          <w:tcPr>
            <w:tcW w:w="2827" w:type="dxa"/>
            <w:gridSpan w:val="3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This writing demonstrates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competence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in control of correct sentence construction, usage, grammar,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mechanics.</w:t>
            </w:r>
          </w:p>
        </w:tc>
        <w:tc>
          <w:tcPr>
            <w:tcW w:w="2827" w:type="dxa"/>
            <w:gridSpan w:val="4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This writing demonstrates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control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of the basics of correct sentence construction, usage, grammar,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mechanics.</w:t>
            </w:r>
          </w:p>
        </w:tc>
        <w:tc>
          <w:tcPr>
            <w:tcW w:w="2827" w:type="dxa"/>
            <w:gridSpan w:val="3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This writing demonstrates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faltering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control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of correct sentence construction, usage, grammar,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mechanics.</w:t>
            </w:r>
          </w:p>
        </w:tc>
        <w:tc>
          <w:tcPr>
            <w:tcW w:w="2828" w:type="dxa"/>
            <w:gridSpan w:val="4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This writing demonstrates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lack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of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control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of correct sentence construction, usage, grammar,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mechanics.</w:t>
            </w:r>
          </w:p>
        </w:tc>
      </w:tr>
      <w:tr w:rsidR="00ED7879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C051DF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D7879" w:rsidRPr="00160138" w:rsidTr="005B5A9D">
        <w:trPr>
          <w:cantSplit/>
          <w:trHeight w:val="20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4468DA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2827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The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relative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absence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of errors is impressive considering the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complexity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of the response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the circumstances.</w:t>
            </w:r>
          </w:p>
        </w:tc>
        <w:tc>
          <w:tcPr>
            <w:tcW w:w="282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19"/>
                <w:szCs w:val="19"/>
              </w:rPr>
            </w:pP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Minor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errors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in complex language structures are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understandable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considering the circumstances.</w:t>
            </w:r>
          </w:p>
        </w:tc>
        <w:tc>
          <w:tcPr>
            <w:tcW w:w="2827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There may be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occasional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lapses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in control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&amp; 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minor errors.  However, the communication remains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clear</w:t>
            </w:r>
            <w:r w:rsidRPr="003C5BA7">
              <w:rPr>
                <w:rFonts w:ascii="Garamond" w:hAnsi="Garamond" w:cs="Arial"/>
                <w:sz w:val="19"/>
                <w:szCs w:val="19"/>
              </w:rPr>
              <w:t>.</w:t>
            </w:r>
          </w:p>
        </w:tc>
        <w:tc>
          <w:tcPr>
            <w:tcW w:w="282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19"/>
                <w:szCs w:val="19"/>
              </w:rPr>
            </w:pPr>
            <w:r w:rsidRPr="003C5BA7">
              <w:rPr>
                <w:rFonts w:ascii="Garamond" w:hAnsi="Garamond" w:cs="Arial"/>
                <w:sz w:val="19"/>
                <w:szCs w:val="19"/>
              </w:rPr>
              <w:t xml:space="preserve">The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range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of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errors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blurs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the clarity of communication.</w:t>
            </w:r>
          </w:p>
        </w:tc>
        <w:tc>
          <w:tcPr>
            <w:tcW w:w="2828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D7879" w:rsidRPr="003C5BA7" w:rsidRDefault="00ED7879" w:rsidP="00104F2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Garamond" w:hAnsi="Garamond" w:cs="Arial"/>
                <w:sz w:val="19"/>
                <w:szCs w:val="19"/>
              </w:rPr>
            </w:pP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Jarring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errors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3C5BA7">
              <w:rPr>
                <w:rFonts w:ascii="Garamond" w:hAnsi="Garamond" w:cs="Arial"/>
                <w:b/>
                <w:sz w:val="19"/>
                <w:szCs w:val="19"/>
              </w:rPr>
              <w:t>impair</w:t>
            </w:r>
            <w:r w:rsidRPr="003C5BA7">
              <w:rPr>
                <w:rFonts w:ascii="Garamond" w:hAnsi="Garamond" w:cs="Arial"/>
                <w:sz w:val="19"/>
                <w:szCs w:val="19"/>
              </w:rPr>
              <w:t xml:space="preserve"> communication.</w:t>
            </w:r>
          </w:p>
        </w:tc>
      </w:tr>
      <w:tr w:rsidR="00ED7879" w:rsidRPr="00160138" w:rsidTr="005B5A9D">
        <w:trPr>
          <w:cantSplit/>
          <w:trHeight w:val="432"/>
        </w:trPr>
        <w:tc>
          <w:tcPr>
            <w:tcW w:w="576" w:type="dxa"/>
            <w:vMerge/>
            <w:tcBorders>
              <w:left w:val="single" w:sz="8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ED7879" w:rsidRPr="004468DA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79" w:rsidRPr="003C5BA7" w:rsidRDefault="00ED7879" w:rsidP="00104F2E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D7879" w:rsidRPr="00160138" w:rsidTr="00D04168">
        <w:trPr>
          <w:cantSplit/>
          <w:trHeight w:val="53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ED7879" w:rsidRPr="004468DA" w:rsidRDefault="00ED7879" w:rsidP="00104F2E">
            <w:pPr>
              <w:ind w:left="113" w:right="113"/>
              <w:jc w:val="center"/>
              <w:rPr>
                <w:rFonts w:ascii="Copperplate Gothic Bold" w:hAnsi="Copperplate Gothic Bold" w:cs="Arial"/>
                <w:bCs/>
                <w:small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74" w:type="dxa"/>
            <w:gridSpan w:val="8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7879" w:rsidRPr="00FC321D" w:rsidRDefault="00ED7879" w:rsidP="00A04DE9">
            <w:pPr>
              <w:jc w:val="center"/>
              <w:rPr>
                <w:rFonts w:ascii="Garamond" w:hAnsi="Garamond" w:cs="Arial"/>
              </w:rPr>
            </w:pPr>
            <w:bookmarkStart w:id="0" w:name="_GoBack"/>
            <w:bookmarkEnd w:id="0"/>
            <w:r w:rsidRPr="00A04DE9">
              <w:rPr>
                <w:rFonts w:ascii="Garamond" w:hAnsi="Garamond" w:cs="Arial"/>
                <w:b/>
                <w:sz w:val="32"/>
                <w:szCs w:val="28"/>
              </w:rPr>
              <w:t>Name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7879" w:rsidRPr="00A04DE9" w:rsidRDefault="00ED7879" w:rsidP="00A04DE9">
            <w:pPr>
              <w:jc w:val="center"/>
              <w:rPr>
                <w:rFonts w:ascii="Garamond" w:hAnsi="Garamond" w:cs="Arial"/>
                <w:smallCaps/>
                <w:sz w:val="28"/>
              </w:rPr>
            </w:pPr>
            <w:r w:rsidRPr="00A04DE9">
              <w:rPr>
                <w:rFonts w:ascii="Garamond" w:hAnsi="Garamond" w:cs="Arial"/>
                <w:smallCaps/>
                <w:sz w:val="28"/>
              </w:rPr>
              <w:t>Category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7879" w:rsidRPr="00A04DE9" w:rsidRDefault="00ED7879" w:rsidP="00A04DE9">
            <w:pPr>
              <w:jc w:val="right"/>
              <w:rPr>
                <w:rFonts w:ascii="Garamond" w:hAnsi="Garamond" w:cs="Arial"/>
                <w:b/>
                <w:sz w:val="28"/>
              </w:rPr>
            </w:pPr>
          </w:p>
        </w:tc>
        <w:tc>
          <w:tcPr>
            <w:tcW w:w="67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7879" w:rsidRPr="00A04DE9" w:rsidRDefault="00ED7879" w:rsidP="00A04DE9">
            <w:pPr>
              <w:rPr>
                <w:rFonts w:ascii="Garamond" w:hAnsi="Garamond" w:cs="Arial"/>
                <w:sz w:val="28"/>
              </w:rPr>
            </w:pPr>
            <w:r w:rsidRPr="00A04DE9">
              <w:rPr>
                <w:rFonts w:ascii="Garamond" w:hAnsi="Garamond" w:cs="Arial"/>
                <w:sz w:val="28"/>
              </w:rPr>
              <w:t>%</w:t>
            </w:r>
          </w:p>
        </w:tc>
      </w:tr>
    </w:tbl>
    <w:p w:rsidR="00593727" w:rsidRPr="00593727" w:rsidRDefault="00593727" w:rsidP="003C5BA7">
      <w:pPr>
        <w:rPr>
          <w:rFonts w:ascii="Garamond" w:hAnsi="Garamond"/>
          <w:sz w:val="2"/>
          <w:szCs w:val="2"/>
        </w:rPr>
      </w:pPr>
    </w:p>
    <w:sectPr w:rsidR="00593727" w:rsidRPr="00593727" w:rsidSect="00A04DE9">
      <w:headerReference w:type="default" r:id="rId8"/>
      <w:pgSz w:w="15840" w:h="12240" w:orient="landscape"/>
      <w:pgMar w:top="576" w:right="1440" w:bottom="576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D6" w:rsidRDefault="00F63BD6" w:rsidP="00A04DE9">
      <w:r>
        <w:separator/>
      </w:r>
    </w:p>
  </w:endnote>
  <w:endnote w:type="continuationSeparator" w:id="0">
    <w:p w:rsidR="00F63BD6" w:rsidRDefault="00F63BD6" w:rsidP="00A0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D6" w:rsidRDefault="00F63BD6" w:rsidP="00A04DE9">
      <w:r>
        <w:separator/>
      </w:r>
    </w:p>
  </w:footnote>
  <w:footnote w:type="continuationSeparator" w:id="0">
    <w:p w:rsidR="00F63BD6" w:rsidRDefault="00F63BD6" w:rsidP="00A0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9" w:rsidRPr="00A04DE9" w:rsidRDefault="00A04DE9" w:rsidP="00291723">
    <w:pPr>
      <w:pStyle w:val="Header"/>
      <w:jc w:val="center"/>
      <w:rPr>
        <w:rFonts w:ascii="Copperplate Gothic Bold" w:hAnsi="Copperplate Gothic Bold" w:cs="Arial"/>
        <w:sz w:val="36"/>
        <w:szCs w:val="36"/>
      </w:rPr>
    </w:pPr>
    <w:r w:rsidRPr="00291723">
      <w:rPr>
        <w:rFonts w:ascii="Copperplate Gothic Bold" w:hAnsi="Copperplate Gothic Bold" w:cs="Arial"/>
        <w:b/>
        <w:sz w:val="36"/>
        <w:szCs w:val="36"/>
      </w:rPr>
      <w:t>Personal</w:t>
    </w:r>
    <w:r w:rsidRPr="00291723">
      <w:rPr>
        <w:rFonts w:ascii="Copperplate Gothic Bold" w:hAnsi="Copperplate Gothic Bold" w:cs="Arial"/>
        <w:b/>
        <w:sz w:val="36"/>
        <w:szCs w:val="36"/>
      </w:rPr>
      <w:t xml:space="preserve"> Response to Text</w:t>
    </w:r>
    <w:r w:rsidRPr="00291723">
      <w:rPr>
        <w:rFonts w:ascii="Copperplate Gothic Bold" w:hAnsi="Copperplate Gothic Bold" w:cs="Arial"/>
        <w:sz w:val="36"/>
        <w:szCs w:val="36"/>
      </w:rPr>
      <w:t xml:space="preserve"> </w:t>
    </w:r>
    <w:r w:rsidRPr="00A04DE9">
      <w:rPr>
        <w:rFonts w:ascii="Copperplate Gothic Bold" w:hAnsi="Copperplate Gothic Bold" w:cs="Arial"/>
        <w:sz w:val="36"/>
        <w:szCs w:val="36"/>
      </w:rPr>
      <w:t>Rubric</w:t>
    </w:r>
  </w:p>
  <w:p w:rsidR="00A04DE9" w:rsidRPr="003C5BA7" w:rsidRDefault="00A04DE9">
    <w:pPr>
      <w:pStyle w:val="Header"/>
      <w:rPr>
        <w:rFonts w:ascii="Garamond" w:hAnsi="Garamon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E25"/>
    <w:multiLevelType w:val="hybridMultilevel"/>
    <w:tmpl w:val="DC44C5B8"/>
    <w:lvl w:ilvl="0" w:tplc="5CE4FA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CA2D63"/>
    <w:multiLevelType w:val="hybridMultilevel"/>
    <w:tmpl w:val="3166980E"/>
    <w:lvl w:ilvl="0" w:tplc="5CE4FA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51787F"/>
    <w:multiLevelType w:val="hybridMultilevel"/>
    <w:tmpl w:val="CEBA67E2"/>
    <w:lvl w:ilvl="0" w:tplc="5CE4FA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7"/>
    <w:rsid w:val="00140FB4"/>
    <w:rsid w:val="00291723"/>
    <w:rsid w:val="003C5BA7"/>
    <w:rsid w:val="00593727"/>
    <w:rsid w:val="005B5A9D"/>
    <w:rsid w:val="006F6BB6"/>
    <w:rsid w:val="00723FE4"/>
    <w:rsid w:val="00843244"/>
    <w:rsid w:val="00912D95"/>
    <w:rsid w:val="00A04DE9"/>
    <w:rsid w:val="00C05814"/>
    <w:rsid w:val="00CF7FA9"/>
    <w:rsid w:val="00D04168"/>
    <w:rsid w:val="00ED7879"/>
    <w:rsid w:val="00F63BD6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2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E9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2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E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Crosby</dc:creator>
  <cp:lastModifiedBy>Nathan Crosby</cp:lastModifiedBy>
  <cp:revision>5</cp:revision>
  <dcterms:created xsi:type="dcterms:W3CDTF">2013-03-16T19:43:00Z</dcterms:created>
  <dcterms:modified xsi:type="dcterms:W3CDTF">2013-03-16T20:43:00Z</dcterms:modified>
</cp:coreProperties>
</file>